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Perstorp kommunfullmäktige</w:t>
      </w:r>
    </w:p>
    <w:p>
      <w:pPr>
        <w:pStyle w:val="Heading1"/>
      </w:pPr>
      <w:r>
        <w:t xml:space="preserve">Införa ordningsregler och fler vuxna i Perstorps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Perstorp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Perstorps skolresultat ligger under rikssnittet med meritvärde 225 (Kolada 2024). Brist på ordning och stödjande vuxna påverkar kunskapsutvecklingen negativt enligt Skolinspektionens granskning 2023.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Perstorp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barn- och utbildningsnämnden att införa tydliga ordningsregler i alla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barn- och utbildningsnämnden tilldelas medel för att anställa ytterligare fem elevassistenter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rektorerna ges mandat att införa mobilförbud under lektionstid.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uppföljning av resultaten redovisas för kommunfullmäktige senast december 2027.</w:t>
      </w:r>
    </w:p>
    <w:p>
      <w:pPr>
        <w:spacing w:before="360"/>
      </w:pPr>
    </w:p>
    <w:p>
      <w:r>
        <w:t xml:space="preserve">Perstorp,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Perstorp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2026-07-14T04:53:47.119Z</dcterms:created>
  <dcterms:modified xsi:type="dcterms:W3CDTF">2026-07-14T04:53:47.119Z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